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3626"/>
      <w:bookmarkStart w:id="1" w:name="_Toc31813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第一章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竞价采购公告</w:t>
      </w:r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茅台酒厂（集团）保健酒业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保健酒业公司锅炉及相关设备维保、检验服务采购项目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项目组织竞价采购，竞价公告在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贵州茅台酒厂（集团）保健酒业有限公司官网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（https://bjj.moutai.com.cn）“招采信息”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发布，欢迎符合资格条件的供应商参加响应。</w:t>
      </w:r>
      <w:bookmarkStart w:id="87" w:name="_GoBack"/>
      <w:bookmarkEnd w:id="8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保健酒业公司锅炉及相关设备维保、检验服务采购项目。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保健酒业公司双龙、同民两园区锅炉燃烧器维保，锅炉、压力容器、压力管道维修，安检阀检验等服务采购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三、一般资格要求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1、具有中华人民共和国境内依法登记注册的独立法人资格，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具有独立承担民事责任的能力：提供有效的加载统一社会信用代码的营业执照副本（复印件或扫描件加盖公章）。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2、法定代表人参加竞价的，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提供法定代表人身份证明并附法定代表人身份证复印件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；授权委托代表人参加竞价的，需提供法定代表人对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授权委托代表人的授权书原件及被授权人的身份证复印件（授权委托书应明确授权期限和授权范围并加盖公章）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本项目不接受分包、转包、联合体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及存在以下情形的主体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参加比价。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（1）被责令停业，暂扣或吊销执照，吊销资质证书，执照、资质证书过期或存在引起执照、资质证书变更的事项而未变更执照、资质证书的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（2）进入清算程序，或被宣告破产，或其他丧失履约能力的情形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（3）在国家企业信用信息公示系统（http://www.gsxt.gov.cn/）中被列入严重违法失信企业名单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（供应商自行承诺在上述网站中未被列入严重违法失信企业名单，格式自拟并加盖单位公章，采购人保留在上述网站查询复核的权利）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（4）在中国执行信息公开网（http://zxgk.court.gov.cn/）中被列入失信被执行人名单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（供应商自行承诺在上述网站中未被列入失信被执行人名单，格式自拟并加盖单位公章，采购人保留在上述网站查询复核的权利）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四、特殊资格要求：</w:t>
      </w:r>
    </w:p>
    <w:p>
      <w:pPr>
        <w:pStyle w:val="24"/>
        <w:ind w:left="0" w:leftChars="0" w:firstLine="602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锅炉安装</w:t>
      </w:r>
      <w:r>
        <w:rPr>
          <w:rFonts w:hint="eastAsia" w:ascii="仿宋_GB2312" w:hAnsi="仿宋_GB2312" w:cs="仿宋_GB2312"/>
          <w:b/>
          <w:bCs/>
          <w:sz w:val="30"/>
          <w:szCs w:val="30"/>
          <w:lang w:val="en-US" w:eastAsia="zh-CN" w:bidi="ar"/>
        </w:rPr>
        <w:t>（含修理、改造）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许可B级及以上资质，压力管道安装许可GC2及以上资质。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五、交货期：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以合同约定为准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七、采购最高限价：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¥137734.00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人民币壹拾叁万柒仟柒佰叁拾肆元整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报价人的响应报价超过采购最高限价的视为无效响应。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八、服务期：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九、报价文件递交截止时间及报价文件递交地点：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报价文件递交截止时间：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00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3、报价文件递交方式：现场递交或邮寄递交。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注：未到现场的响应人，需在报价文件递交截止时间前将报价文件邮寄至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贵州省遵义市仁怀市坛厂街道贵州茅台酒厂（集团）保健酒业有限公司综合办公区327设备与能源环保部办公室；收件人：徐先生（17585865585）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否则报价文件将被拒收。因邮寄产生的风险及费用由响应人自行承担。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十、报价要求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1、报价形式：以人民币报价，只接受一次报价，且该报价为唯一报价。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前，响应人应对项目现场及周围环境进行踏勘，以获取编制响应文件和签署合同所涉及的现场资料。供应商不进行现场踏勘的，视为对现场已经了解。供应商自行承担踏勘现场的责任、风险和费用。踏勘现场联系人：徐先生17585865585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3、报价包含但不限于：维保、维修、检验、材料、税金、差旅、利润、人工和未考虑到的其他完成该项目的一切费用。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4、报价响应人报价超过采购最高限价的为无效报价。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十一、合同承包方式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固定单价合同。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十二、付款方式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1、本项目无预付款，合同签订后每半年根据实际发生的业务量，经采购人组织验收合格且响应人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>向采购人提供符合采购人要求的增值税专用发票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 xml:space="preserve">支付该服务期间相应的服务费用。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十三、报价文件的组成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1、①报价书；②分项报价表；③报价响应人资格要求证明文件；④法定代表人身份证明、法定代表人授权书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；⑤质保承诺。报价文件格式见附件。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2、报价文件数量：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以上资料均须密封在一个密封袋内，在密封处加盖报价响应人公章，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中选响应人须提供报价文件的PDF格式扫描件，建议双面打印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3、成交响应人在合同签订前，若采购人需要，须再向采购人提供有效的PDF及Word版报价文件。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、本竞价采购文件属合同的有效组成部分，报价响应人应完全清楚、理解、接受本竞价采购文件的相关规定，须严格按照本文件规定，在规定时间内签订合同并按要求提供服务。本文件与所签定合同不一致的，以合同约定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十五、成交响应人的确定原则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根据满足需求、质量、服务且报价最低原则（含税总价，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当投标人税率不一致时，以不含税总价最低确定为中标人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）确定成交供应商。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十六、授予合同前的审查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采购人保留审查预成交候选响应人是否有能力履行合同的权利，包括对预成交候选响应人的办公场所、组织机构、建设能力、提供资料的真实性等方面进行核实或现场考察。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如果成交候选响应人不符合条件、弄虚作假、未完全实质响应竞价采购文件要求的，取消其成交候选响应人资格。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十七、合同签订原则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1、成交响应人接到采购人通知后7日内与采购人对接签订合同事宜。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2、合同形式：固定单价合同。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十八、联系方式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Toc70063715"/>
      <w:bookmarkStart w:id="3" w:name="_Toc7006536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采购人名称: 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地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贵州省仁怀市坛厂街道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贵州茅台酒厂（集团）保健酒业有限公司综合办公区327设备与能源环保部办公室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 系  人：徐先生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电 话：</w:t>
      </w:r>
      <w:bookmarkStart w:id="4" w:name="_Toc2729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17585865585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注：响应人应严格按照竞价采购文件要求进行报价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5" w:name="_Toc388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第二章 采购清单</w:t>
      </w:r>
      <w:bookmarkEnd w:id="4"/>
      <w:bookmarkEnd w:id="5"/>
      <w:bookmarkStart w:id="6" w:name="_Toc261600259"/>
      <w:bookmarkStart w:id="7" w:name="_Toc22987889"/>
      <w:bookmarkStart w:id="8" w:name="_Toc17046582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（一）采购内容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保健酒业公司锅炉及相关设备维保、检验服务采购项目。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26"/>
        <w:tblW w:w="551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191"/>
        <w:gridCol w:w="898"/>
        <w:gridCol w:w="877"/>
        <w:gridCol w:w="881"/>
        <w:gridCol w:w="4105"/>
        <w:gridCol w:w="771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服务项目名称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设备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default" w:ascii="Calibri" w:hAnsi="Calibri" w:eastAsia="宋体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Calibri" w:hAnsi="Calibri" w:eastAsia="宋体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地点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奥林GP-300M-III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1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燃烧器维保内容（至少每季度一次）：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1、风气比精调整；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2、故障深度诊断及PLC控制系统维修维护；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3、拆卸检查喷嘴：清洁积碳、油污，检查磨损、堵塞；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4、检查清理点火电极，间隙长度调整；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5、检漏开关、组合电磁阀组、高低压开关等定期维护；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6、清洁检查稳焰盘/叶片等；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7、伺服电机精度调整；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8、每年做一次年度熄火连锁停炉试验。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9、提供7*24小时燃烧器故障维修服务，出现故障须在接到甲方通知后2小时内到场处理。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双龙园区</w:t>
            </w:r>
          </w:p>
        </w:tc>
        <w:tc>
          <w:tcPr>
            <w:tcW w:w="957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维保期限一年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奥林GP-700M-I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双龙园区</w:t>
            </w:r>
          </w:p>
        </w:tc>
        <w:tc>
          <w:tcPr>
            <w:tcW w:w="957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欧保ES800GE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双龙园区</w:t>
            </w:r>
          </w:p>
        </w:tc>
        <w:tc>
          <w:tcPr>
            <w:tcW w:w="957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欧保EP10GE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同民园区</w:t>
            </w:r>
          </w:p>
        </w:tc>
        <w:tc>
          <w:tcPr>
            <w:tcW w:w="957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锅炉承压部件、压力容器、压力管道等设备的故障维修及锅炉检验配合等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人/天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暂定60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锅炉承压部件、压力容器、压力管道的故障维修（焊接、切割等），包含维修需要的耗材。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5小时以内算半天，5小时及以上算一天。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锅炉内防火材料修补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人/天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暂定20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锅炉内的耐火砖、防火封堵件的修补，包含修补需要的材料。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5小时以内算半天，5小时及以上算一天。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DN20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暂定15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DN25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暂定2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DN40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暂定4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DN50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暂定6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DN65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暂定17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DN80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暂定10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DN100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暂定5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DN125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暂定4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DN150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暂定2</w:t>
            </w:r>
          </w:p>
        </w:tc>
        <w:tc>
          <w:tcPr>
            <w:tcW w:w="41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7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9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9" w:name="_Toc1486"/>
      <w:bookmarkStart w:id="10" w:name="_Toc28955"/>
    </w:p>
    <w:bookmarkEnd w:id="9"/>
    <w:bookmarkEnd w:id="10"/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1" w:name="_Toc31722"/>
      <w:bookmarkStart w:id="12" w:name="_Toc22026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br w:type="page"/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3" w:name="_Toc31145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第三章 报价文件</w:t>
      </w:r>
      <w:bookmarkEnd w:id="11"/>
      <w:bookmarkEnd w:id="12"/>
      <w:bookmarkEnd w:id="13"/>
    </w:p>
    <w:p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报价文件</w:t>
      </w:r>
    </w:p>
    <w:p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>
      <w:pPr>
        <w:spacing w:line="360" w:lineRule="auto"/>
        <w:ind w:firstLine="10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3078" w:leftChars="418" w:hanging="2200" w:hangingChars="5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项目名称：</w:t>
      </w: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>保健酒业公司锅炉及相关设备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3072" w:leftChars="1463" w:firstLine="0" w:firstLineChars="0"/>
        <w:jc w:val="left"/>
        <w:textAlignment w:val="auto"/>
        <w:rPr>
          <w:rFonts w:hint="eastAsia" w:ascii="楷体_GB2312" w:hAnsi="宋体" w:eastAsia="楷体_GB2312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>维保、检验服务采购项目</w:t>
      </w:r>
      <w:r>
        <w:rPr>
          <w:rFonts w:hint="eastAsia" w:ascii="仿宋_GB2312" w:hAnsi="仿宋_GB2312" w:eastAsia="仿宋_GB2312" w:cs="仿宋_GB2312"/>
          <w:sz w:val="44"/>
          <w:szCs w:val="44"/>
        </w:rPr>
        <w:t xml:space="preserve"> </w:t>
      </w:r>
    </w:p>
    <w:p>
      <w:pPr>
        <w:ind w:firstLine="560"/>
        <w:rPr>
          <w:rFonts w:ascii="华文仿宋" w:hAnsi="华文仿宋" w:eastAsia="华文仿宋"/>
          <w:sz w:val="28"/>
          <w:szCs w:val="28"/>
        </w:rPr>
      </w:pPr>
    </w:p>
    <w:p>
      <w:pPr>
        <w:spacing w:line="700" w:lineRule="exact"/>
        <w:ind w:firstLine="2880" w:firstLineChars="800"/>
        <w:rPr>
          <w:rFonts w:hint="eastAsia" w:ascii="楷体_GB2312" w:hAnsi="宋体" w:eastAsia="楷体_GB2312"/>
          <w:sz w:val="36"/>
          <w:szCs w:val="36"/>
        </w:rPr>
      </w:pPr>
    </w:p>
    <w:p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报价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响应人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</w:t>
      </w:r>
    </w:p>
    <w:p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br w:type="page"/>
      </w: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  录</w:t>
      </w:r>
    </w:p>
    <w:p>
      <w:pPr>
        <w:pStyle w:val="10"/>
        <w:rPr>
          <w:rFonts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4" w:name="_Toc100312316"/>
      <w:bookmarkStart w:id="15" w:name="_Toc12527"/>
      <w:bookmarkStart w:id="16" w:name="_Toc8354"/>
      <w:bookmarkStart w:id="17" w:name="_Toc8859"/>
      <w:bookmarkStart w:id="18" w:name="_Toc4233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1、报价书</w:t>
      </w:r>
      <w:bookmarkEnd w:id="14"/>
      <w:bookmarkEnd w:id="15"/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9" w:name="_Toc3313"/>
      <w:bookmarkStart w:id="20" w:name="_Toc28301"/>
      <w:bookmarkStart w:id="21" w:name="_Toc100312317"/>
      <w:bookmarkStart w:id="22" w:name="_Toc7759"/>
      <w:bookmarkStart w:id="23" w:name="_Toc14883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2、分项报价表</w:t>
      </w:r>
      <w:bookmarkEnd w:id="19"/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4" w:name="_Toc16911"/>
      <w:bookmarkStart w:id="25" w:name="_Toc29895"/>
      <w:bookmarkStart w:id="26" w:name="_Toc4290"/>
      <w:bookmarkStart w:id="27" w:name="_Toc17399"/>
      <w:bookmarkStart w:id="28" w:name="_Toc100312319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3、报价响应人资格要求证明文件</w:t>
      </w:r>
      <w:bookmarkEnd w:id="24"/>
      <w:bookmarkEnd w:id="25"/>
      <w:bookmarkEnd w:id="26"/>
      <w:bookmarkEnd w:id="27"/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9" w:name="_Toc16065"/>
      <w:bookmarkStart w:id="30" w:name="_Toc12259"/>
      <w:bookmarkStart w:id="31" w:name="_Toc100312320"/>
      <w:bookmarkStart w:id="32" w:name="_Toc1036"/>
      <w:bookmarkStart w:id="33" w:name="_Toc1272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29"/>
      <w:bookmarkEnd w:id="30"/>
      <w:bookmarkEnd w:id="31"/>
      <w:bookmarkEnd w:id="32"/>
      <w:bookmarkEnd w:id="33"/>
    </w:p>
    <w:p>
      <w:pPr>
        <w:rPr>
          <w:rFonts w:hint="eastAsia"/>
          <w:lang w:val="en-US" w:eastAsia="zh-CN"/>
        </w:rPr>
      </w:pPr>
      <w:bookmarkStart w:id="34" w:name="_Toc16916"/>
      <w:bookmarkStart w:id="35" w:name="_Toc100312324"/>
      <w:bookmarkStart w:id="36" w:name="_Toc70065365"/>
      <w:bookmarkStart w:id="37" w:name="_Toc261600260"/>
      <w:bookmarkStart w:id="38" w:name="_Toc170465825"/>
      <w:bookmarkStart w:id="39" w:name="_Toc70063719"/>
      <w:bookmarkStart w:id="40" w:name="_Toc22987890"/>
      <w:bookmarkStart w:id="41" w:name="_Toc29530"/>
      <w:bookmarkStart w:id="42" w:name="_Toc255"/>
      <w:bookmarkStart w:id="43" w:name="_Toc10325"/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1、报 价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书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我公司就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保健酒业公司锅炉及相关设备维保、检验服务采购项目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的响应报价如下：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含税报价为：¥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），其中其中增值税专用发票税率为：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报价包含但不限于：维保、维修、检验、材料、税金、差旅、利润、人工和未考虑到的其他完成该项目的一切费用。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交货期：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以合同约定为准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据此函，报价响应人承诺如下条款：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1、将按竞价采购文件规定履行合同责任和义务。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2、同意提供按照采购方可能要求的与其报价有关的一切数据或资料。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3、与本报价有关的一切正式往来通讯请寄：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44" w:name="_Toc236106758"/>
      <w:bookmarkStart w:id="45" w:name="_Toc198297836"/>
      <w:bookmarkStart w:id="46" w:name="_Toc216228068"/>
      <w:bookmarkStart w:id="47" w:name="_Toc256065902"/>
      <w:bookmarkStart w:id="48" w:name="_Toc261600261"/>
      <w:bookmarkStart w:id="49" w:name="_Toc70065366"/>
      <w:bookmarkStart w:id="50" w:name="_Toc70063720"/>
      <w:bookmarkStart w:id="51" w:name="_Toc30782"/>
      <w:bookmarkStart w:id="52" w:name="_Toc27760"/>
      <w:bookmarkStart w:id="53" w:name="_Toc100312325"/>
      <w:bookmarkStart w:id="54" w:name="_Toc12845"/>
      <w:bookmarkStart w:id="55" w:name="_Toc1792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2、</w:t>
      </w:r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分项报价表</w:t>
      </w:r>
      <w:bookmarkEnd w:id="51"/>
      <w:bookmarkEnd w:id="52"/>
      <w:bookmarkEnd w:id="53"/>
      <w:bookmarkEnd w:id="54"/>
      <w:bookmarkEnd w:id="55"/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报价响应人名称(公章)：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　      　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货币单位：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　 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注意：含税总价不高于¥137734.00元。</w:t>
      </w:r>
    </w:p>
    <w:tbl>
      <w:tblPr>
        <w:tblStyle w:val="26"/>
        <w:tblW w:w="583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101"/>
        <w:gridCol w:w="932"/>
        <w:gridCol w:w="560"/>
        <w:gridCol w:w="551"/>
        <w:gridCol w:w="4055"/>
        <w:gridCol w:w="643"/>
        <w:gridCol w:w="581"/>
        <w:gridCol w:w="812"/>
        <w:gridCol w:w="1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服务项目名称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设备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default" w:ascii="Calibri" w:hAnsi="Calibri" w:eastAsia="宋体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Calibri" w:hAnsi="Calibri" w:eastAsia="宋体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小计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地点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奥林GP-300M-III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50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燃烧器维保内容（至少每季度一次）：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1、风气比精调整；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2、故障深度诊断及PLC控制系统维修维护；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3、拆卸检查喷嘴：清洁积碳、油污，检查磨损、堵塞；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4、检查清理点火电极，间隙长度调整；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5、检漏开关、组合电磁阀组、高低压开关等定期维护；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6、清洁检查稳焰盘/叶片等；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7、伺服电机精度调整；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8、每年做一次年度熄火连锁停炉试验。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9、提供7*24小时燃烧器故障维修服务，出现故障须在接到甲方通知后2小时内到场处理。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双龙园区</w:t>
            </w:r>
          </w:p>
        </w:tc>
        <w:tc>
          <w:tcPr>
            <w:tcW w:w="1029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维保期限一年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奥林GP-700M-I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双龙园区</w:t>
            </w:r>
          </w:p>
        </w:tc>
        <w:tc>
          <w:tcPr>
            <w:tcW w:w="1029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欧保ES800GE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双龙园区</w:t>
            </w:r>
          </w:p>
        </w:tc>
        <w:tc>
          <w:tcPr>
            <w:tcW w:w="1029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3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燃烧器维保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欧保EP10GE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同民园区</w:t>
            </w:r>
          </w:p>
        </w:tc>
        <w:tc>
          <w:tcPr>
            <w:tcW w:w="1029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锅炉承压部件、压力容器、压力管道等设备的故障维修及锅炉检验配合等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人/天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暂定60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锅炉承压部件、压力容器、压力管道的故障维修（焊接、切割等），包含维修需要的耗材。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5小时以内算半天，5小时及以上算一天。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锅炉内防火材料修补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人/天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暂定20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锅炉内的耐火砖、防火封堵件的修补，包含修补需要的材料。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5小时以内算半天，5小时及以上算一天。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DN20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暂定15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DN25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暂定2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DN40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暂定4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DN50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暂定6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DN65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暂定17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DN80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暂定10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DN100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暂定5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DN125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暂定4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安全阀校验</w:t>
            </w:r>
          </w:p>
        </w:tc>
        <w:tc>
          <w:tcPr>
            <w:tcW w:w="9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DN150</w:t>
            </w:r>
          </w:p>
        </w:tc>
        <w:tc>
          <w:tcPr>
            <w:tcW w:w="55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 w:line="240" w:lineRule="atLeast"/>
              <w:jc w:val="center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暂定2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包含安全阀的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拆送检装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或在线校验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同民、双龙园区</w:t>
            </w:r>
          </w:p>
        </w:tc>
        <w:tc>
          <w:tcPr>
            <w:tcW w:w="10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48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含税合计</w:t>
            </w:r>
          </w:p>
        </w:tc>
        <w:tc>
          <w:tcPr>
            <w:tcW w:w="9152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¥      元（税率    %）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（签字或盖章）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60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报价响应人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报价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56" w:name="_Toc256065906"/>
      <w:bookmarkStart w:id="57" w:name="_Toc236106762"/>
      <w:bookmarkStart w:id="58" w:name="_Toc261600265"/>
      <w:bookmarkStart w:id="59" w:name="_Toc70065368"/>
      <w:bookmarkStart w:id="60" w:name="_Toc70063722"/>
      <w:bookmarkStart w:id="61" w:name="_Toc198297841"/>
      <w:bookmarkStart w:id="62" w:name="_Toc216228072"/>
      <w:bookmarkStart w:id="63" w:name="_Toc1998"/>
      <w:bookmarkStart w:id="64" w:name="_Toc24000"/>
      <w:bookmarkStart w:id="65" w:name="_Toc7613"/>
      <w:bookmarkStart w:id="66" w:name="_Toc100312327"/>
      <w:bookmarkStart w:id="67" w:name="_Toc2313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3、报价</w:t>
      </w:r>
      <w:bookmarkEnd w:id="56"/>
      <w:bookmarkEnd w:id="57"/>
      <w:bookmarkEnd w:id="58"/>
      <w:bookmarkEnd w:id="59"/>
      <w:bookmarkEnd w:id="60"/>
      <w:bookmarkEnd w:id="61"/>
      <w:bookmarkEnd w:id="62"/>
      <w:bookmarkStart w:id="68" w:name="_Toc216228073"/>
      <w:bookmarkStart w:id="69" w:name="_Toc70065369"/>
      <w:bookmarkStart w:id="70" w:name="_Toc256065907"/>
      <w:bookmarkStart w:id="71" w:name="_Toc70063723"/>
      <w:bookmarkStart w:id="72" w:name="_Toc198297842"/>
      <w:bookmarkStart w:id="73" w:name="_Toc261600266"/>
      <w:bookmarkStart w:id="74" w:name="_Toc23610676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响应人资格要求证明文件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>
      <w:pPr>
        <w:pStyle w:val="5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bookmarkStart w:id="75" w:name="_Toc236106765"/>
      <w:bookmarkStart w:id="76" w:name="_Toc216228075"/>
      <w:bookmarkStart w:id="77" w:name="_Toc198297844"/>
      <w:bookmarkStart w:id="78" w:name="_Toc261600268"/>
      <w:bookmarkStart w:id="79" w:name="_Toc256065909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3.1资格证明材料：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①提供有效的营业执照副本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提供锅炉安装（含修理、改造）许可B级及以上资质，压力管道安装许可GC2及以上资质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>
      <w:pPr>
        <w:pStyle w:val="24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80" w:name="_Toc2551"/>
      <w:bookmarkStart w:id="81" w:name="_Toc2548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80"/>
      <w:bookmarkEnd w:id="81"/>
    </w:p>
    <w:p>
      <w:pPr>
        <w:pStyle w:val="5"/>
        <w:spacing w:before="120" w:after="120" w:line="360" w:lineRule="auto"/>
        <w:ind w:firstLine="56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4.1、法定代表人身份证明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注册地址：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成立日期：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年龄：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（报价供应商单位名称）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特此声明。</w:t>
      </w:r>
    </w:p>
    <w:tbl>
      <w:tblPr>
        <w:tblStyle w:val="2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国徽面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人像面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法定代表人（签字或盖章）：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报价响应人（公章）：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4.2法人授权委托书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（报价响应人全称）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（姓 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（被授权人姓名）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）为本公司合法代理人，参加贵方组织的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同民、双龙两园区制酒车间接酒池格栅加装冲孔板改造项目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的采购活动，代表本公司处理采购活动中的一切事宜。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本授权委托书签章即生效，被委托人无转委托权。</w:t>
      </w:r>
    </w:p>
    <w:tbl>
      <w:tblPr>
        <w:tblStyle w:val="2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0" w:firstLineChars="200"/>
        <w:textAlignment w:val="auto"/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法定代表人（签章）：          被授权代表签字或盖章：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报价响应人（公章）：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82" w:name="_Toc25933"/>
      <w:bookmarkStart w:id="83" w:name="_Toc4687"/>
      <w:bookmarkStart w:id="84" w:name="_Toc100312328"/>
      <w:bookmarkStart w:id="85" w:name="_Toc15143"/>
      <w:bookmarkStart w:id="86" w:name="_Toc3183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注：法定代表人参加竞价的，可不提供本法人授权委托书。</w:t>
      </w:r>
      <w:bookmarkEnd w:id="82"/>
      <w:bookmarkEnd w:id="83"/>
      <w:bookmarkEnd w:id="84"/>
      <w:bookmarkEnd w:id="85"/>
      <w:bookmarkEnd w:id="86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/>
          <w:lang w:val="en-US" w:eastAsia="zh-CN"/>
        </w:rPr>
      </w:pPr>
    </w:p>
    <w:bookmarkEnd w:id="6"/>
    <w:bookmarkEnd w:id="7"/>
    <w:bookmarkEnd w:id="8"/>
    <w:bookmarkEnd w:id="75"/>
    <w:bookmarkEnd w:id="76"/>
    <w:bookmarkEnd w:id="77"/>
    <w:bookmarkEnd w:id="78"/>
    <w:bookmarkEnd w:id="79"/>
    <w:p>
      <w:pPr>
        <w:pStyle w:val="44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承诺</w:t>
      </w:r>
    </w:p>
    <w:p>
      <w:pPr>
        <w:pStyle w:val="14"/>
        <w:tabs>
          <w:tab w:val="left" w:pos="900"/>
        </w:tabs>
        <w:spacing w:line="700" w:lineRule="exact"/>
        <w:ind w:left="0" w:leftChars="0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lang w:eastAsia="zh-CN"/>
        </w:rPr>
        <w:t>贵州茅台酒厂（集团）保健酒业有限公司</w:t>
      </w:r>
    </w:p>
    <w:p>
      <w:pPr>
        <w:spacing w:line="700" w:lineRule="exact"/>
        <w:ind w:firstLine="480"/>
        <w:rPr>
          <w:b/>
          <w:sz w:val="24"/>
        </w:rPr>
      </w:pPr>
      <w:r>
        <w:rPr>
          <w:rFonts w:hint="eastAsia" w:ascii="Arial" w:hAnsi="Arial"/>
          <w:sz w:val="24"/>
        </w:rPr>
        <w:t>根据</w:t>
      </w:r>
      <w:r>
        <w:rPr>
          <w:rFonts w:hint="eastAsia" w:ascii="Arial" w:hAnsi="Arial"/>
          <w:sz w:val="24"/>
          <w:u w:val="single"/>
        </w:rPr>
        <w:t xml:space="preserve">                 （</w:t>
      </w:r>
      <w:r>
        <w:rPr>
          <w:rFonts w:hint="eastAsia" w:ascii="Arial" w:hAnsi="Arial"/>
          <w:sz w:val="24"/>
        </w:rPr>
        <w:t>采购项目名称）的</w:t>
      </w:r>
      <w:r>
        <w:rPr>
          <w:rFonts w:hint="eastAsia" w:ascii="Arial" w:hAnsi="Arial"/>
          <w:sz w:val="24"/>
          <w:lang w:val="en-US" w:eastAsia="zh-CN"/>
        </w:rPr>
        <w:t>要求</w:t>
      </w:r>
      <w:r>
        <w:rPr>
          <w:rFonts w:hint="eastAsia" w:ascii="Arial" w:hAnsi="Arial"/>
          <w:sz w:val="24"/>
        </w:rPr>
        <w:t>，我公司对该项目做出如下承诺：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1、我公司将按询比价文件规定履行责任和义务。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询比价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</w:pPr>
      <w:r>
        <w:rPr>
          <w:rFonts w:hint="eastAsia"/>
          <w:sz w:val="24"/>
        </w:rPr>
        <w:t>3、我公司同意提供采购人可能要求的与其报价有关的一切数据或资料，完全理解采购方不一定要接受最低价的报价或收到的任何报价文件。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4、我公司不存在被责令停业，暂扣或吊销执照，吊销资质证书，执照、资质证书过期或存在引起执照、资质证书变更的事项而未变更执照、资质证书的情况。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5、我公司不存在进入清算程序，或被宣告破产，或其他丧失履约能力的情形。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6、我公司不存在在国家企业信用信息公示系统（http://www.gsxt.gov.cn/）中被列入严重违法失信企业名单的情况。</w:t>
      </w:r>
    </w:p>
    <w:p>
      <w:pPr>
        <w:tabs>
          <w:tab w:val="left" w:pos="900"/>
        </w:tabs>
        <w:spacing w:line="360" w:lineRule="auto"/>
        <w:ind w:firstLine="560"/>
        <w:rPr>
          <w:rFonts w:hint="default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7、我公司不存在在中国执行信息公开网（http://zxgk.court.gov.cn/）中被列入失信被执行人名单的情况。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、我公司的报价文件提供的报价、资格、技术、商务等文件均真实、有效、准确。若有违背，我方愿意承担由此而产生的一切后果。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9、我公司承诺项目不分包、转包，非联合体响应。</w:t>
      </w:r>
    </w:p>
    <w:p>
      <w:pPr>
        <w:tabs>
          <w:tab w:val="left" w:pos="900"/>
        </w:tabs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（盖单位公章）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法定代表人或委托代理人：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（签字或盖章）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854" w:right="1400" w:bottom="1854" w:left="14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vNBxnQAQAAnA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G5oEzpyw9OCXnz8uv/5cfn9n&#10;b2+SP33Aio49hHuYMqQwiR1asOlLMtiQPT1fPVVDZJI2l+vVel2S3ZJqc0I4xeP1ABjfK29ZCmoO&#10;9GjZS3H6iHE8Oh9J3YxLq/N32pixmnaKRHMklqI47IeJ7d43Z9JII0/gnYdvnPX04DV3NN+cmQ+O&#10;/EyzMQcwB/s5EE7SxZpHzo4B9KHLc5RoYHh3jEQl80yNx24TH3q0rHQasDQVT/N86vGn2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JvNBxnQAQAAn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E70"/>
    <w:multiLevelType w:val="singleLevel"/>
    <w:tmpl w:val="E98D5E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DgwYjI0YmE3MWFkNzc2ZWYzNjQ4MzZiNTFmMTQifQ=="/>
  </w:docVars>
  <w:rsids>
    <w:rsidRoot w:val="00000000"/>
    <w:rsid w:val="002475E7"/>
    <w:rsid w:val="008F6B1F"/>
    <w:rsid w:val="012B7068"/>
    <w:rsid w:val="0158353E"/>
    <w:rsid w:val="018F31EC"/>
    <w:rsid w:val="01C11592"/>
    <w:rsid w:val="01D13F03"/>
    <w:rsid w:val="01D2183D"/>
    <w:rsid w:val="02022F0C"/>
    <w:rsid w:val="0229142F"/>
    <w:rsid w:val="022E40FE"/>
    <w:rsid w:val="02512647"/>
    <w:rsid w:val="02C92423"/>
    <w:rsid w:val="02E54DA8"/>
    <w:rsid w:val="03086AA8"/>
    <w:rsid w:val="034137A4"/>
    <w:rsid w:val="034A7724"/>
    <w:rsid w:val="03545291"/>
    <w:rsid w:val="03937F5D"/>
    <w:rsid w:val="039A7993"/>
    <w:rsid w:val="046C2C38"/>
    <w:rsid w:val="04762137"/>
    <w:rsid w:val="048C4C83"/>
    <w:rsid w:val="052344A0"/>
    <w:rsid w:val="05B95BC8"/>
    <w:rsid w:val="05C075B1"/>
    <w:rsid w:val="05CC410D"/>
    <w:rsid w:val="060A6FDB"/>
    <w:rsid w:val="06172C98"/>
    <w:rsid w:val="06314567"/>
    <w:rsid w:val="065953F6"/>
    <w:rsid w:val="068E3768"/>
    <w:rsid w:val="069B7C33"/>
    <w:rsid w:val="06A8186A"/>
    <w:rsid w:val="06AA73D3"/>
    <w:rsid w:val="07375554"/>
    <w:rsid w:val="07BA3C45"/>
    <w:rsid w:val="07D50FEE"/>
    <w:rsid w:val="09304FAA"/>
    <w:rsid w:val="09691A8F"/>
    <w:rsid w:val="0A4C69F3"/>
    <w:rsid w:val="0AD431C4"/>
    <w:rsid w:val="0B106CF7"/>
    <w:rsid w:val="0B8F6A85"/>
    <w:rsid w:val="0B9D5C5A"/>
    <w:rsid w:val="0C032502"/>
    <w:rsid w:val="0C166799"/>
    <w:rsid w:val="0C6F204A"/>
    <w:rsid w:val="0C803B53"/>
    <w:rsid w:val="0C92255C"/>
    <w:rsid w:val="0D12636A"/>
    <w:rsid w:val="0D1B1ACD"/>
    <w:rsid w:val="0D54665C"/>
    <w:rsid w:val="0D827B1A"/>
    <w:rsid w:val="0D8F67FC"/>
    <w:rsid w:val="0DEA6CF2"/>
    <w:rsid w:val="0DF03726"/>
    <w:rsid w:val="0DF44C3E"/>
    <w:rsid w:val="0E172E1A"/>
    <w:rsid w:val="0E4A299E"/>
    <w:rsid w:val="0F44355D"/>
    <w:rsid w:val="0F5C6ACC"/>
    <w:rsid w:val="0F794FF3"/>
    <w:rsid w:val="0FCA0BD0"/>
    <w:rsid w:val="0FCC70AF"/>
    <w:rsid w:val="0FF06917"/>
    <w:rsid w:val="10202471"/>
    <w:rsid w:val="10423F6C"/>
    <w:rsid w:val="105733F3"/>
    <w:rsid w:val="11222DE3"/>
    <w:rsid w:val="11256380"/>
    <w:rsid w:val="112D0F7E"/>
    <w:rsid w:val="112F5B47"/>
    <w:rsid w:val="11703CBB"/>
    <w:rsid w:val="11832FD5"/>
    <w:rsid w:val="119B1D15"/>
    <w:rsid w:val="11B1675D"/>
    <w:rsid w:val="11FC2980"/>
    <w:rsid w:val="13043658"/>
    <w:rsid w:val="13207066"/>
    <w:rsid w:val="137361BF"/>
    <w:rsid w:val="13AA7707"/>
    <w:rsid w:val="13C063BB"/>
    <w:rsid w:val="13D6576C"/>
    <w:rsid w:val="143C0E0E"/>
    <w:rsid w:val="14470498"/>
    <w:rsid w:val="14604C98"/>
    <w:rsid w:val="146A3C47"/>
    <w:rsid w:val="14990155"/>
    <w:rsid w:val="14B46C35"/>
    <w:rsid w:val="14B60A59"/>
    <w:rsid w:val="14DA0369"/>
    <w:rsid w:val="14F30C79"/>
    <w:rsid w:val="14FF7087"/>
    <w:rsid w:val="1552177C"/>
    <w:rsid w:val="157F5F94"/>
    <w:rsid w:val="16364079"/>
    <w:rsid w:val="178766DD"/>
    <w:rsid w:val="17C0574B"/>
    <w:rsid w:val="17C05857"/>
    <w:rsid w:val="17C25929"/>
    <w:rsid w:val="18CC45D2"/>
    <w:rsid w:val="1A0967BF"/>
    <w:rsid w:val="1A450189"/>
    <w:rsid w:val="1A914A74"/>
    <w:rsid w:val="1A9F0FBB"/>
    <w:rsid w:val="1AE9320B"/>
    <w:rsid w:val="1AF65E08"/>
    <w:rsid w:val="1B6C2205"/>
    <w:rsid w:val="1B731B81"/>
    <w:rsid w:val="1BF73705"/>
    <w:rsid w:val="1C3B31E6"/>
    <w:rsid w:val="1C9626DC"/>
    <w:rsid w:val="1CBF4223"/>
    <w:rsid w:val="1D634A4A"/>
    <w:rsid w:val="1D641525"/>
    <w:rsid w:val="1E3065B9"/>
    <w:rsid w:val="1EEC198E"/>
    <w:rsid w:val="1EFA20E0"/>
    <w:rsid w:val="1FC20ABD"/>
    <w:rsid w:val="20420677"/>
    <w:rsid w:val="21020693"/>
    <w:rsid w:val="210362B4"/>
    <w:rsid w:val="21345F34"/>
    <w:rsid w:val="213C0896"/>
    <w:rsid w:val="216B4958"/>
    <w:rsid w:val="21AE4866"/>
    <w:rsid w:val="21BD5BA9"/>
    <w:rsid w:val="21C67E02"/>
    <w:rsid w:val="22594534"/>
    <w:rsid w:val="234B6811"/>
    <w:rsid w:val="23D77052"/>
    <w:rsid w:val="23F31612"/>
    <w:rsid w:val="243F1D14"/>
    <w:rsid w:val="24E0790A"/>
    <w:rsid w:val="24E11F9F"/>
    <w:rsid w:val="251E6095"/>
    <w:rsid w:val="25286039"/>
    <w:rsid w:val="256D0720"/>
    <w:rsid w:val="25C05C13"/>
    <w:rsid w:val="269B0376"/>
    <w:rsid w:val="27191B86"/>
    <w:rsid w:val="2785281C"/>
    <w:rsid w:val="27A63889"/>
    <w:rsid w:val="27BE5BBA"/>
    <w:rsid w:val="28327F9F"/>
    <w:rsid w:val="28411E5B"/>
    <w:rsid w:val="284D29FA"/>
    <w:rsid w:val="28DF3727"/>
    <w:rsid w:val="28F0143B"/>
    <w:rsid w:val="2920159F"/>
    <w:rsid w:val="2941429A"/>
    <w:rsid w:val="295E49AC"/>
    <w:rsid w:val="296248B1"/>
    <w:rsid w:val="29E9638F"/>
    <w:rsid w:val="2A2658E2"/>
    <w:rsid w:val="2A8F70CC"/>
    <w:rsid w:val="2AE40947"/>
    <w:rsid w:val="2AEE5922"/>
    <w:rsid w:val="2AFE36F0"/>
    <w:rsid w:val="2B31564E"/>
    <w:rsid w:val="2B793765"/>
    <w:rsid w:val="2BB009A4"/>
    <w:rsid w:val="2BB40EAD"/>
    <w:rsid w:val="2BED7E4E"/>
    <w:rsid w:val="2C3610FE"/>
    <w:rsid w:val="2C5F3F79"/>
    <w:rsid w:val="2CBE21DB"/>
    <w:rsid w:val="2CF51B6F"/>
    <w:rsid w:val="2D352EF4"/>
    <w:rsid w:val="2D371BB4"/>
    <w:rsid w:val="2D3A40C7"/>
    <w:rsid w:val="2D4E1102"/>
    <w:rsid w:val="2D4E316A"/>
    <w:rsid w:val="2D516AB7"/>
    <w:rsid w:val="2D8A3EAE"/>
    <w:rsid w:val="2D972A63"/>
    <w:rsid w:val="2DBE5F29"/>
    <w:rsid w:val="2E47754D"/>
    <w:rsid w:val="2E81441B"/>
    <w:rsid w:val="2F0021A4"/>
    <w:rsid w:val="2F1877C3"/>
    <w:rsid w:val="2F665A68"/>
    <w:rsid w:val="2F942565"/>
    <w:rsid w:val="2FC267D0"/>
    <w:rsid w:val="2FDD0835"/>
    <w:rsid w:val="306C7DC6"/>
    <w:rsid w:val="30AE22AE"/>
    <w:rsid w:val="30BF41C2"/>
    <w:rsid w:val="30F91A36"/>
    <w:rsid w:val="314C50EA"/>
    <w:rsid w:val="31842820"/>
    <w:rsid w:val="327A0EC0"/>
    <w:rsid w:val="32B77A5E"/>
    <w:rsid w:val="32F35A3A"/>
    <w:rsid w:val="33AC70D6"/>
    <w:rsid w:val="33C13C9E"/>
    <w:rsid w:val="33D910EF"/>
    <w:rsid w:val="34840CC9"/>
    <w:rsid w:val="34AF4725"/>
    <w:rsid w:val="34BB131C"/>
    <w:rsid w:val="35152209"/>
    <w:rsid w:val="353C245D"/>
    <w:rsid w:val="35410B17"/>
    <w:rsid w:val="35504B81"/>
    <w:rsid w:val="36442DBB"/>
    <w:rsid w:val="36580EE4"/>
    <w:rsid w:val="36745C27"/>
    <w:rsid w:val="367E05E7"/>
    <w:rsid w:val="36A44CBB"/>
    <w:rsid w:val="36B73E5D"/>
    <w:rsid w:val="372E04CB"/>
    <w:rsid w:val="37FA215C"/>
    <w:rsid w:val="385828C1"/>
    <w:rsid w:val="38B502C7"/>
    <w:rsid w:val="38CD4C32"/>
    <w:rsid w:val="38EB48E8"/>
    <w:rsid w:val="38FF0BC1"/>
    <w:rsid w:val="3995541D"/>
    <w:rsid w:val="39BA1BA2"/>
    <w:rsid w:val="3B333F8A"/>
    <w:rsid w:val="3BD10201"/>
    <w:rsid w:val="3C2B4FD9"/>
    <w:rsid w:val="3C485B8B"/>
    <w:rsid w:val="3C4E2A76"/>
    <w:rsid w:val="3C9E1C4F"/>
    <w:rsid w:val="3CC943A8"/>
    <w:rsid w:val="3CD63197"/>
    <w:rsid w:val="3CE3744B"/>
    <w:rsid w:val="3D74475E"/>
    <w:rsid w:val="3DDB549F"/>
    <w:rsid w:val="3DDD67A7"/>
    <w:rsid w:val="3DDF3403"/>
    <w:rsid w:val="3DE35EB9"/>
    <w:rsid w:val="3E2237F1"/>
    <w:rsid w:val="3E791760"/>
    <w:rsid w:val="3EC438FE"/>
    <w:rsid w:val="3EC45FD4"/>
    <w:rsid w:val="3ED34BB6"/>
    <w:rsid w:val="3EE31B9B"/>
    <w:rsid w:val="3FBA6DA0"/>
    <w:rsid w:val="3FF26069"/>
    <w:rsid w:val="400A28EA"/>
    <w:rsid w:val="40522E3F"/>
    <w:rsid w:val="40623B06"/>
    <w:rsid w:val="40920486"/>
    <w:rsid w:val="40CA49E4"/>
    <w:rsid w:val="40F736DC"/>
    <w:rsid w:val="41484C7D"/>
    <w:rsid w:val="415441B1"/>
    <w:rsid w:val="419F76EC"/>
    <w:rsid w:val="41DE6F40"/>
    <w:rsid w:val="41F12821"/>
    <w:rsid w:val="41F74DFF"/>
    <w:rsid w:val="427259B4"/>
    <w:rsid w:val="42AA4462"/>
    <w:rsid w:val="430A15CD"/>
    <w:rsid w:val="433759FF"/>
    <w:rsid w:val="433809AC"/>
    <w:rsid w:val="435E3EE6"/>
    <w:rsid w:val="43601A0D"/>
    <w:rsid w:val="438641F8"/>
    <w:rsid w:val="43BB3F3E"/>
    <w:rsid w:val="43E73EDC"/>
    <w:rsid w:val="43E75C8A"/>
    <w:rsid w:val="43FD54AD"/>
    <w:rsid w:val="44071E88"/>
    <w:rsid w:val="441D5536"/>
    <w:rsid w:val="444035EC"/>
    <w:rsid w:val="44440A87"/>
    <w:rsid w:val="446612A5"/>
    <w:rsid w:val="447119F7"/>
    <w:rsid w:val="44753296"/>
    <w:rsid w:val="44AB315B"/>
    <w:rsid w:val="44CF6996"/>
    <w:rsid w:val="44FC588B"/>
    <w:rsid w:val="450954B4"/>
    <w:rsid w:val="452A22D2"/>
    <w:rsid w:val="452E1696"/>
    <w:rsid w:val="456021B2"/>
    <w:rsid w:val="45B17409"/>
    <w:rsid w:val="45E12F77"/>
    <w:rsid w:val="461940F5"/>
    <w:rsid w:val="46443999"/>
    <w:rsid w:val="465B0A2D"/>
    <w:rsid w:val="46676B47"/>
    <w:rsid w:val="47753F75"/>
    <w:rsid w:val="478557D4"/>
    <w:rsid w:val="487D1AC4"/>
    <w:rsid w:val="49073A1A"/>
    <w:rsid w:val="493B60C3"/>
    <w:rsid w:val="494D658F"/>
    <w:rsid w:val="498B47F8"/>
    <w:rsid w:val="49DD279F"/>
    <w:rsid w:val="4A35053E"/>
    <w:rsid w:val="4B1A2AA1"/>
    <w:rsid w:val="4BBA0128"/>
    <w:rsid w:val="4BE8259F"/>
    <w:rsid w:val="4BEF1B80"/>
    <w:rsid w:val="4C643F49"/>
    <w:rsid w:val="4C657AE9"/>
    <w:rsid w:val="4C962698"/>
    <w:rsid w:val="4CA20D90"/>
    <w:rsid w:val="4D1D2EB8"/>
    <w:rsid w:val="4D662315"/>
    <w:rsid w:val="4D920FE3"/>
    <w:rsid w:val="4DDE6568"/>
    <w:rsid w:val="4E5860E4"/>
    <w:rsid w:val="4E6805AC"/>
    <w:rsid w:val="4E6C395B"/>
    <w:rsid w:val="4EA07422"/>
    <w:rsid w:val="4EA75DE0"/>
    <w:rsid w:val="4F01444D"/>
    <w:rsid w:val="4F374822"/>
    <w:rsid w:val="4F3A1A7F"/>
    <w:rsid w:val="4F722566"/>
    <w:rsid w:val="4FC36AE8"/>
    <w:rsid w:val="4FCA5E75"/>
    <w:rsid w:val="4FE439C5"/>
    <w:rsid w:val="501B52E3"/>
    <w:rsid w:val="50F972B7"/>
    <w:rsid w:val="51141551"/>
    <w:rsid w:val="51371379"/>
    <w:rsid w:val="51532BB1"/>
    <w:rsid w:val="51647DE0"/>
    <w:rsid w:val="51A936AD"/>
    <w:rsid w:val="521A26BC"/>
    <w:rsid w:val="521B750D"/>
    <w:rsid w:val="52347DB7"/>
    <w:rsid w:val="52424E65"/>
    <w:rsid w:val="534740C2"/>
    <w:rsid w:val="536B3E91"/>
    <w:rsid w:val="53915C12"/>
    <w:rsid w:val="53C02E05"/>
    <w:rsid w:val="547908FF"/>
    <w:rsid w:val="54866DF9"/>
    <w:rsid w:val="54C327B0"/>
    <w:rsid w:val="5511700B"/>
    <w:rsid w:val="55516EAD"/>
    <w:rsid w:val="55DA38A0"/>
    <w:rsid w:val="56952577"/>
    <w:rsid w:val="56A33580"/>
    <w:rsid w:val="56F71E82"/>
    <w:rsid w:val="577A3CAB"/>
    <w:rsid w:val="57850027"/>
    <w:rsid w:val="57A454D2"/>
    <w:rsid w:val="588847F1"/>
    <w:rsid w:val="58902608"/>
    <w:rsid w:val="5912736A"/>
    <w:rsid w:val="59337639"/>
    <w:rsid w:val="599F26C0"/>
    <w:rsid w:val="59DB31DB"/>
    <w:rsid w:val="5A2D01D3"/>
    <w:rsid w:val="5A827BD1"/>
    <w:rsid w:val="5AE96334"/>
    <w:rsid w:val="5B2D0A18"/>
    <w:rsid w:val="5B341C18"/>
    <w:rsid w:val="5B47464C"/>
    <w:rsid w:val="5B734591"/>
    <w:rsid w:val="5B7C7C23"/>
    <w:rsid w:val="5BAB6C35"/>
    <w:rsid w:val="5BB748C6"/>
    <w:rsid w:val="5BBC2424"/>
    <w:rsid w:val="5BC61D06"/>
    <w:rsid w:val="5BD118E3"/>
    <w:rsid w:val="5C7D4191"/>
    <w:rsid w:val="5CA95B7B"/>
    <w:rsid w:val="5D6E48CE"/>
    <w:rsid w:val="5DAF1F3C"/>
    <w:rsid w:val="5DCA41FA"/>
    <w:rsid w:val="5DDD1437"/>
    <w:rsid w:val="5DFB44AE"/>
    <w:rsid w:val="5E105099"/>
    <w:rsid w:val="5E7B5C80"/>
    <w:rsid w:val="5E800AAF"/>
    <w:rsid w:val="5F1D035A"/>
    <w:rsid w:val="5F881C77"/>
    <w:rsid w:val="5FAB1E0A"/>
    <w:rsid w:val="5FB23196"/>
    <w:rsid w:val="5FF84F72"/>
    <w:rsid w:val="60193B9C"/>
    <w:rsid w:val="60512FE7"/>
    <w:rsid w:val="606538D9"/>
    <w:rsid w:val="60A71BB1"/>
    <w:rsid w:val="61333986"/>
    <w:rsid w:val="617355D6"/>
    <w:rsid w:val="619F0B4F"/>
    <w:rsid w:val="61A345CF"/>
    <w:rsid w:val="61F407E0"/>
    <w:rsid w:val="62172CA1"/>
    <w:rsid w:val="622B0FE0"/>
    <w:rsid w:val="62804FFB"/>
    <w:rsid w:val="62BC7329"/>
    <w:rsid w:val="62EE1195"/>
    <w:rsid w:val="630272DB"/>
    <w:rsid w:val="63233158"/>
    <w:rsid w:val="63C713FC"/>
    <w:rsid w:val="640502D6"/>
    <w:rsid w:val="64111E36"/>
    <w:rsid w:val="64410EBF"/>
    <w:rsid w:val="64514846"/>
    <w:rsid w:val="64591E34"/>
    <w:rsid w:val="645B286F"/>
    <w:rsid w:val="64C22BA0"/>
    <w:rsid w:val="64F711FD"/>
    <w:rsid w:val="658C2B12"/>
    <w:rsid w:val="6602303B"/>
    <w:rsid w:val="6622778F"/>
    <w:rsid w:val="66464DAC"/>
    <w:rsid w:val="671747FF"/>
    <w:rsid w:val="67226E55"/>
    <w:rsid w:val="672A7AB8"/>
    <w:rsid w:val="673E3880"/>
    <w:rsid w:val="680F0621"/>
    <w:rsid w:val="685773E4"/>
    <w:rsid w:val="68784853"/>
    <w:rsid w:val="68D86F20"/>
    <w:rsid w:val="68EB6C00"/>
    <w:rsid w:val="693D6646"/>
    <w:rsid w:val="695D4098"/>
    <w:rsid w:val="697B2E68"/>
    <w:rsid w:val="6A320AA4"/>
    <w:rsid w:val="6A6E4160"/>
    <w:rsid w:val="6A8E035E"/>
    <w:rsid w:val="6B5A7CF8"/>
    <w:rsid w:val="6BAC13E3"/>
    <w:rsid w:val="6BB41F9B"/>
    <w:rsid w:val="6BBF1117"/>
    <w:rsid w:val="6BF65F22"/>
    <w:rsid w:val="6C1A109C"/>
    <w:rsid w:val="6C3D0C2C"/>
    <w:rsid w:val="6C5543BD"/>
    <w:rsid w:val="6CFE0684"/>
    <w:rsid w:val="6D1B672F"/>
    <w:rsid w:val="6DC62C97"/>
    <w:rsid w:val="6DDE0F55"/>
    <w:rsid w:val="6DE97893"/>
    <w:rsid w:val="6E551A02"/>
    <w:rsid w:val="6E850642"/>
    <w:rsid w:val="6EA4218C"/>
    <w:rsid w:val="6EAB55D4"/>
    <w:rsid w:val="6EB8631E"/>
    <w:rsid w:val="6ED42FDD"/>
    <w:rsid w:val="6EFF1FEF"/>
    <w:rsid w:val="6F05663D"/>
    <w:rsid w:val="6F1C1F3D"/>
    <w:rsid w:val="6F4C62C9"/>
    <w:rsid w:val="6F897E62"/>
    <w:rsid w:val="6FEB4920"/>
    <w:rsid w:val="700B3127"/>
    <w:rsid w:val="7033539E"/>
    <w:rsid w:val="706202C3"/>
    <w:rsid w:val="7064194F"/>
    <w:rsid w:val="709A4DDD"/>
    <w:rsid w:val="70DF36C1"/>
    <w:rsid w:val="71190E82"/>
    <w:rsid w:val="711A6D17"/>
    <w:rsid w:val="713D663A"/>
    <w:rsid w:val="71A929CD"/>
    <w:rsid w:val="71C17009"/>
    <w:rsid w:val="71E33685"/>
    <w:rsid w:val="72621DA4"/>
    <w:rsid w:val="7277274E"/>
    <w:rsid w:val="728E784B"/>
    <w:rsid w:val="72C847CA"/>
    <w:rsid w:val="73FD130B"/>
    <w:rsid w:val="74047798"/>
    <w:rsid w:val="74880F59"/>
    <w:rsid w:val="74FD2BE4"/>
    <w:rsid w:val="75842385"/>
    <w:rsid w:val="75D752AF"/>
    <w:rsid w:val="762A0EA2"/>
    <w:rsid w:val="76312C11"/>
    <w:rsid w:val="765465E1"/>
    <w:rsid w:val="76C16709"/>
    <w:rsid w:val="76D851A3"/>
    <w:rsid w:val="771149DE"/>
    <w:rsid w:val="77632A6A"/>
    <w:rsid w:val="778B00FF"/>
    <w:rsid w:val="77A86698"/>
    <w:rsid w:val="77EB3293"/>
    <w:rsid w:val="782837C8"/>
    <w:rsid w:val="78E33C9D"/>
    <w:rsid w:val="78FC095C"/>
    <w:rsid w:val="79167E9C"/>
    <w:rsid w:val="791F1D51"/>
    <w:rsid w:val="79D17AFA"/>
    <w:rsid w:val="7A00138E"/>
    <w:rsid w:val="7A2120D6"/>
    <w:rsid w:val="7A8A6D94"/>
    <w:rsid w:val="7A8E7867"/>
    <w:rsid w:val="7AF406B1"/>
    <w:rsid w:val="7B1B11CA"/>
    <w:rsid w:val="7B615D46"/>
    <w:rsid w:val="7B87643B"/>
    <w:rsid w:val="7B9061F9"/>
    <w:rsid w:val="7B9C6D7F"/>
    <w:rsid w:val="7BEE62DE"/>
    <w:rsid w:val="7BFA5F60"/>
    <w:rsid w:val="7C5A1048"/>
    <w:rsid w:val="7C666D8C"/>
    <w:rsid w:val="7CB8046C"/>
    <w:rsid w:val="7CB93960"/>
    <w:rsid w:val="7D0E3608"/>
    <w:rsid w:val="7D157AE4"/>
    <w:rsid w:val="7E305DBE"/>
    <w:rsid w:val="7ECB1729"/>
    <w:rsid w:val="7F3A5E20"/>
    <w:rsid w:val="7F873D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8">
    <w:name w:val="Default Paragraph Font"/>
    <w:qFormat/>
    <w:uiPriority w:val="1"/>
  </w:style>
  <w:style w:type="table" w:default="1" w:styleId="2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4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7">
    <w:name w:val="Normal Indent"/>
    <w:basedOn w:val="1"/>
    <w:link w:val="71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8">
    <w:name w:val="annotation text"/>
    <w:basedOn w:val="1"/>
    <w:link w:val="80"/>
    <w:autoRedefine/>
    <w:qFormat/>
    <w:uiPriority w:val="0"/>
    <w:pPr>
      <w:jc w:val="left"/>
    </w:pPr>
  </w:style>
  <w:style w:type="paragraph" w:styleId="9">
    <w:name w:val="Body Text 3"/>
    <w:basedOn w:val="1"/>
    <w:link w:val="73"/>
    <w:autoRedefine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10">
    <w:name w:val="Body Text"/>
    <w:basedOn w:val="1"/>
    <w:link w:val="78"/>
    <w:autoRedefine/>
    <w:qFormat/>
    <w:uiPriority w:val="0"/>
    <w:pPr>
      <w:spacing w:after="120"/>
    </w:pPr>
  </w:style>
  <w:style w:type="paragraph" w:styleId="11">
    <w:name w:val="Body Text Indent"/>
    <w:basedOn w:val="1"/>
    <w:link w:val="72"/>
    <w:autoRedefine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autoRedefine/>
    <w:qFormat/>
    <w:uiPriority w:val="39"/>
    <w:pPr>
      <w:ind w:left="840" w:leftChars="400"/>
    </w:pPr>
  </w:style>
  <w:style w:type="paragraph" w:styleId="13">
    <w:name w:val="Plain Text"/>
    <w:basedOn w:val="1"/>
    <w:link w:val="36"/>
    <w:autoRedefine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7"/>
    <w:autoRedefine/>
    <w:qFormat/>
    <w:uiPriority w:val="0"/>
    <w:pPr>
      <w:ind w:left="100" w:leftChars="2500"/>
    </w:pPr>
  </w:style>
  <w:style w:type="paragraph" w:styleId="15">
    <w:name w:val="Body Text Indent 2"/>
    <w:basedOn w:val="1"/>
    <w:link w:val="70"/>
    <w:autoRedefine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7">
    <w:name w:val="footer"/>
    <w:basedOn w:val="1"/>
    <w:next w:val="1"/>
    <w:link w:val="3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</w:style>
  <w:style w:type="paragraph" w:styleId="19">
    <w:name w:val="Body Text Indent 3"/>
    <w:basedOn w:val="1"/>
    <w:link w:val="41"/>
    <w:autoRedefine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0">
    <w:name w:val="index 9"/>
    <w:basedOn w:val="1"/>
    <w:next w:val="1"/>
    <w:autoRedefine/>
    <w:qFormat/>
    <w:uiPriority w:val="99"/>
    <w:pPr>
      <w:ind w:left="3360"/>
    </w:pPr>
  </w:style>
  <w:style w:type="paragraph" w:styleId="21">
    <w:name w:val="toc 2"/>
    <w:basedOn w:val="1"/>
    <w:next w:val="1"/>
    <w:autoRedefine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2">
    <w:name w:val="Normal (Web)"/>
    <w:basedOn w:val="1"/>
    <w:next w:val="20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annotation subject"/>
    <w:basedOn w:val="8"/>
    <w:next w:val="8"/>
    <w:link w:val="81"/>
    <w:autoRedefine/>
    <w:qFormat/>
    <w:uiPriority w:val="0"/>
    <w:rPr>
      <w:b/>
      <w:bCs/>
    </w:rPr>
  </w:style>
  <w:style w:type="paragraph" w:styleId="24">
    <w:name w:val="Body Text First Indent"/>
    <w:basedOn w:val="10"/>
    <w:autoRedefine/>
    <w:qFormat/>
    <w:uiPriority w:val="0"/>
    <w:pPr>
      <w:ind w:firstLine="420" w:firstLineChars="100"/>
    </w:pPr>
  </w:style>
  <w:style w:type="paragraph" w:styleId="25">
    <w:name w:val="Body Text First Indent 2"/>
    <w:basedOn w:val="11"/>
    <w:next w:val="1"/>
    <w:autoRedefine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27">
    <w:name w:val="Table Grid"/>
    <w:basedOn w:val="2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FollowedHyperlink"/>
    <w:basedOn w:val="28"/>
    <w:autoRedefine/>
    <w:qFormat/>
    <w:uiPriority w:val="99"/>
    <w:rPr>
      <w:color w:val="954F72"/>
      <w:u w:val="single"/>
    </w:rPr>
  </w:style>
  <w:style w:type="character" w:styleId="30">
    <w:name w:val="Hyperlink"/>
    <w:basedOn w:val="28"/>
    <w:autoRedefine/>
    <w:qFormat/>
    <w:uiPriority w:val="99"/>
    <w:rPr>
      <w:rFonts w:ascii="Tahoma" w:hAnsi="Tahoma" w:cs="Tahoma"/>
      <w:color w:val="000000"/>
      <w:sz w:val="24"/>
      <w:u w:val="none"/>
    </w:rPr>
  </w:style>
  <w:style w:type="character" w:styleId="31">
    <w:name w:val="annotation reference"/>
    <w:basedOn w:val="28"/>
    <w:autoRedefine/>
    <w:qFormat/>
    <w:uiPriority w:val="0"/>
    <w:rPr>
      <w:sz w:val="21"/>
      <w:szCs w:val="21"/>
    </w:rPr>
  </w:style>
  <w:style w:type="paragraph" w:customStyle="1" w:styleId="32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paragraph" w:customStyle="1" w:styleId="33">
    <w:name w:val="四级标题"/>
    <w:basedOn w:val="14"/>
    <w:autoRedefine/>
    <w:qFormat/>
    <w:uiPriority w:val="99"/>
    <w:rPr>
      <w:rFonts w:eastAsia="黑体"/>
      <w:sz w:val="24"/>
    </w:rPr>
  </w:style>
  <w:style w:type="character" w:customStyle="1" w:styleId="34">
    <w:name w:val="标题 2 Char"/>
    <w:basedOn w:val="28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标题 3 Char"/>
    <w:basedOn w:val="28"/>
    <w:link w:val="5"/>
    <w:autoRedefine/>
    <w:qFormat/>
    <w:uiPriority w:val="0"/>
    <w:rPr>
      <w:b/>
      <w:bCs/>
      <w:kern w:val="2"/>
      <w:sz w:val="32"/>
      <w:szCs w:val="32"/>
    </w:rPr>
  </w:style>
  <w:style w:type="character" w:customStyle="1" w:styleId="36">
    <w:name w:val="纯文本 Char"/>
    <w:basedOn w:val="28"/>
    <w:link w:val="13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7">
    <w:name w:val="日期 Char"/>
    <w:basedOn w:val="28"/>
    <w:link w:val="14"/>
    <w:autoRedefine/>
    <w:qFormat/>
    <w:uiPriority w:val="0"/>
    <w:rPr>
      <w:kern w:val="2"/>
      <w:sz w:val="21"/>
      <w:szCs w:val="24"/>
    </w:rPr>
  </w:style>
  <w:style w:type="character" w:customStyle="1" w:styleId="38">
    <w:name w:val="批注框文本 Char"/>
    <w:basedOn w:val="28"/>
    <w:link w:val="16"/>
    <w:autoRedefine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28"/>
    <w:link w:val="17"/>
    <w:autoRedefine/>
    <w:qFormat/>
    <w:uiPriority w:val="0"/>
    <w:rPr>
      <w:kern w:val="2"/>
      <w:sz w:val="18"/>
      <w:szCs w:val="18"/>
    </w:rPr>
  </w:style>
  <w:style w:type="character" w:customStyle="1" w:styleId="40">
    <w:name w:val="页眉 Char"/>
    <w:basedOn w:val="28"/>
    <w:link w:val="2"/>
    <w:autoRedefine/>
    <w:qFormat/>
    <w:uiPriority w:val="99"/>
    <w:rPr>
      <w:kern w:val="2"/>
      <w:sz w:val="18"/>
      <w:szCs w:val="18"/>
    </w:rPr>
  </w:style>
  <w:style w:type="character" w:customStyle="1" w:styleId="41">
    <w:name w:val="正文文本缩进 3 Char1"/>
    <w:basedOn w:val="28"/>
    <w:link w:val="19"/>
    <w:autoRedefine/>
    <w:qFormat/>
    <w:uiPriority w:val="0"/>
    <w:rPr>
      <w:kern w:val="2"/>
      <w:sz w:val="16"/>
      <w:szCs w:val="16"/>
    </w:rPr>
  </w:style>
  <w:style w:type="paragraph" w:customStyle="1" w:styleId="42">
    <w:name w:val="Char Char Char Char Char Char"/>
    <w:basedOn w:val="1"/>
    <w:autoRedefine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43">
    <w:name w:val="ptdl"/>
    <w:basedOn w:val="1"/>
    <w:autoRedefine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4">
    <w:name w:val="样式 标题 2PIM2H2Heading 2 Hidden2nd levelh22Header 2l2DO N...2"/>
    <w:basedOn w:val="4"/>
    <w:autoRedefine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5">
    <w:name w:val="正文文本缩进 3 Char"/>
    <w:basedOn w:val="28"/>
    <w:autoRedefine/>
    <w:qFormat/>
    <w:uiPriority w:val="0"/>
    <w:rPr>
      <w:b/>
      <w:bCs/>
      <w:color w:val="FF6600"/>
      <w:sz w:val="24"/>
      <w:szCs w:val="24"/>
    </w:rPr>
  </w:style>
  <w:style w:type="paragraph" w:customStyle="1" w:styleId="4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49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7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78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6">
    <w:name w:val="xl82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8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8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70">
    <w:name w:val="正文文本缩进 2 Char"/>
    <w:basedOn w:val="28"/>
    <w:link w:val="15"/>
    <w:autoRedefine/>
    <w:qFormat/>
    <w:uiPriority w:val="0"/>
    <w:rPr>
      <w:kern w:val="2"/>
      <w:sz w:val="21"/>
      <w:szCs w:val="24"/>
    </w:rPr>
  </w:style>
  <w:style w:type="character" w:customStyle="1" w:styleId="71">
    <w:name w:val="正文缩进 Char"/>
    <w:link w:val="7"/>
    <w:autoRedefine/>
    <w:qFormat/>
    <w:uiPriority w:val="0"/>
  </w:style>
  <w:style w:type="character" w:customStyle="1" w:styleId="72">
    <w:name w:val="正文文本缩进 Char"/>
    <w:basedOn w:val="28"/>
    <w:link w:val="11"/>
    <w:autoRedefine/>
    <w:qFormat/>
    <w:uiPriority w:val="0"/>
    <w:rPr>
      <w:kern w:val="2"/>
      <w:sz w:val="21"/>
      <w:szCs w:val="24"/>
    </w:rPr>
  </w:style>
  <w:style w:type="character" w:customStyle="1" w:styleId="73">
    <w:name w:val="正文文本 3 Char"/>
    <w:basedOn w:val="28"/>
    <w:link w:val="9"/>
    <w:autoRedefine/>
    <w:qFormat/>
    <w:uiPriority w:val="0"/>
    <w:rPr>
      <w:rFonts w:ascii="Calibri" w:hAnsi="Calibri" w:cs="Calibri"/>
      <w:kern w:val="2"/>
      <w:sz w:val="16"/>
      <w:szCs w:val="16"/>
    </w:rPr>
  </w:style>
  <w:style w:type="character" w:customStyle="1" w:styleId="74">
    <w:name w:val="标题 1 Char"/>
    <w:basedOn w:val="28"/>
    <w:link w:val="3"/>
    <w:autoRedefine/>
    <w:qFormat/>
    <w:uiPriority w:val="0"/>
    <w:rPr>
      <w:b/>
      <w:bCs/>
      <w:kern w:val="44"/>
      <w:sz w:val="44"/>
      <w:szCs w:val="44"/>
    </w:rPr>
  </w:style>
  <w:style w:type="paragraph" w:customStyle="1" w:styleId="75">
    <w:name w:val="TOC 标题1"/>
    <w:basedOn w:val="3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76092"/>
      <w:kern w:val="0"/>
      <w:sz w:val="32"/>
      <w:szCs w:val="32"/>
    </w:rPr>
  </w:style>
  <w:style w:type="paragraph" w:customStyle="1" w:styleId="76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8">
    <w:name w:val="正文文本 Char"/>
    <w:basedOn w:val="28"/>
    <w:link w:val="10"/>
    <w:autoRedefine/>
    <w:qFormat/>
    <w:uiPriority w:val="0"/>
    <w:rPr>
      <w:kern w:val="2"/>
      <w:sz w:val="21"/>
      <w:szCs w:val="24"/>
    </w:rPr>
  </w:style>
  <w:style w:type="paragraph" w:customStyle="1" w:styleId="7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文字 Char"/>
    <w:basedOn w:val="28"/>
    <w:link w:val="8"/>
    <w:autoRedefine/>
    <w:qFormat/>
    <w:uiPriority w:val="0"/>
    <w:rPr>
      <w:kern w:val="2"/>
      <w:sz w:val="21"/>
      <w:szCs w:val="24"/>
    </w:rPr>
  </w:style>
  <w:style w:type="character" w:customStyle="1" w:styleId="81">
    <w:name w:val="批注主题 Char"/>
    <w:basedOn w:val="80"/>
    <w:link w:val="23"/>
    <w:autoRedefine/>
    <w:qFormat/>
    <w:uiPriority w:val="0"/>
    <w:rPr>
      <w:b/>
      <w:bCs/>
      <w:kern w:val="2"/>
      <w:sz w:val="21"/>
      <w:szCs w:val="24"/>
    </w:rPr>
  </w:style>
  <w:style w:type="table" w:customStyle="1" w:styleId="8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84">
    <w:name w:val="font41"/>
    <w:basedOn w:val="28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5">
    <w:name w:val="font21"/>
    <w:basedOn w:val="28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31"/>
    <w:basedOn w:val="28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FE119-C4FA-4800-87A0-8F4CFC8D6CAA}">
  <ds:schemaRefs/>
</ds:datastoreItem>
</file>

<file path=customXml/itemProps3.xml><?xml version="1.0" encoding="utf-8"?>
<ds:datastoreItem xmlns:ds="http://schemas.openxmlformats.org/officeDocument/2006/customXml" ds:itemID="{e885fed6-a526-4312-aef5-a5b75bad2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3782</Words>
  <Characters>3946</Characters>
  <Paragraphs>1209</Paragraphs>
  <TotalTime>18</TotalTime>
  <ScaleCrop>false</ScaleCrop>
  <LinksUpToDate>false</LinksUpToDate>
  <CharactersWithSpaces>4662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2022-04-08T04:05:00Z</dcterms:created>
  <dc:creator>admin</dc:creator>
  <cp:lastModifiedBy>兴</cp:lastModifiedBy>
  <cp:lastPrinted>2024-07-05T00:56:00Z</cp:lastPrinted>
  <dcterms:modified xsi:type="dcterms:W3CDTF">2025-12-23T06:55:36Z</dcterms:modified>
  <dc:title>询比价采购文件（模板）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1984D77D83054EF5ACD2837DE21BCBB0_13</vt:lpwstr>
  </property>
  <property fmtid="{D5CDD505-2E9C-101B-9397-08002B2CF9AE}" pid="4" name="KSOTemplateDocerSaveRecord">
    <vt:lpwstr>eyJoZGlkIjoiYjI3NjQ4OGMxOTJlZTJiZTBjMzNlZjNmNmY4ZjZjOGYiLCJ1c2VySWQiOiIxNjE3ODI0Mjg2In0=</vt:lpwstr>
  </property>
</Properties>
</file>